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05D9" w14:textId="25A24B73" w:rsidR="00115D75" w:rsidRPr="00FF0790" w:rsidRDefault="00FF0790" w:rsidP="00FF0790">
      <w:pPr>
        <w:spacing w:after="0"/>
        <w:jc w:val="center"/>
        <w:rPr>
          <w:rFonts w:ascii="Avenir Next Condensed" w:hAnsi="Avenir Next Condensed"/>
          <w:b/>
          <w:sz w:val="36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4577951" wp14:editId="5AD6139B">
                <wp:simplePos x="0" y="0"/>
                <wp:positionH relativeFrom="column">
                  <wp:posOffset>957</wp:posOffset>
                </wp:positionH>
                <wp:positionV relativeFrom="paragraph">
                  <wp:posOffset>-94577</wp:posOffset>
                </wp:positionV>
                <wp:extent cx="8911988" cy="409433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1988" cy="40943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C41A" id="Rectangle 2" o:spid="_x0000_s1026" style="position:absolute;margin-left:.1pt;margin-top:-7.45pt;width:701.75pt;height:32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A50nAIAAKgFAAAOAAAAZHJzL2Uyb0RvYy54bWysVE1v2zAMvQ/YfxB0X22n6dYEdYqgRYcB&#13;&#10;3Vq0HXpWZCk2IImapMTJfv0oyXE/1u0wLAdFFMlH8pnk2flOK7IVzndgalodlZQIw6HpzLqm3x+u&#13;&#10;PpxS4gMzDVNgRE33wtPzxft3Z72diwm0oBrhCIIYP+9tTdsQ7LwoPG+FZv4IrDColOA0Cyi6ddE4&#13;&#10;1iO6VsWkLD8WPbjGOuDCe3y9zEq6SPhSCh5upPQiEFVTzC2k06VzFc9iccbma8ds2/EhDfYPWWjW&#13;&#10;GQw6Ql2ywMjGdb9B6Y478CDDEQddgJQdF6kGrKYqX1Vz3zIrUi1IjrcjTf7/wfJv21tHuqamE0oM&#13;&#10;0/iJ7pA0ZtZKkEmkp7d+jlb39tYNksdrrHUnnY7/WAXZJUr3I6ViFwjHx9NZVc1OsQk46qblbHp8&#13;&#10;HEGLJ2/rfPgsQJN4qanD6IlJtr32IZseTGIwD6prrjqlkhDbRFwoR7YMP/BqPUmuaqO/QpPfZiX+&#13;&#10;hpCpq6J5SuAFkjIRz0BEzkHjSxGLz+WmW9grEe2UuRMSWcMCc8QROQdlnAsTqpSMb1kj8vPJH3NJ&#13;&#10;gBFZYvwRewB4WeQBO2c52EdXkdp9dC5z9L85jx4pMpgwOuvOgHsLQGFVQ+RsfyApUxNZWkGzx55y&#13;&#10;kIfNW37V4ae9Zj7cMofThXOIGyPc4CEV9DWF4UZJC+7nW+/RHpsetZT0OK019T82zAlK1BeD4zCr&#13;&#10;ptM43kmYnnyaoOCea1bPNWajLwD7pcLdZHm6RvugDlfpQD/iYlnGqKhihmPsmvLgDsJFyFsEVxMX&#13;&#10;y2Uyw5G2LFybe8sjeGQ1tu7D7pE5O/R3wMn4BofJZvNXbZ5to6eB5SaA7NIMPPE68I3rIDXxsLri&#13;&#10;vnkuJ6unBbv4BQAA//8DAFBLAwQUAAYACAAAACEAtHwCceIAAAANAQAADwAAAGRycy9kb3ducmV2&#13;&#10;LnhtbExPy07DMBC8I/EP1iJxa+22UWjTOBUqQlwQKoUDRzdenKjxOordxuXrcU9wWWk0j50pN9F2&#13;&#10;7IyDbx1JmE0FMKTa6ZaMhM+P58kSmA+KtOocoYQLethUtzelKrQb6R3P+2BYCiFfKAlNCH3Bua8b&#13;&#10;tMpPXY+UuG83WBUSHAzXgxpTuO34XIicW9VS+tCoHrcN1sf9yUp4u8QlvZpBHHcmX2xfcPz5ikbK&#13;&#10;+7v4tE7ncQ0sYAx/DrhuSP2hSsUO7kTas07CPOkkTGbZCtiVzsTiAdhBQrbKgVcl/7+i+gUAAP//&#13;&#10;AwBQSwECLQAUAAYACAAAACEAtoM4kv4AAADhAQAAEwAAAAAAAAAAAAAAAAAAAAAAW0NvbnRlbnRf&#13;&#10;VHlwZXNdLnhtbFBLAQItABQABgAIAAAAIQA4/SH/1gAAAJQBAAALAAAAAAAAAAAAAAAAAC8BAABf&#13;&#10;cmVscy8ucmVsc1BLAQItABQABgAIAAAAIQCwMA50nAIAAKgFAAAOAAAAAAAAAAAAAAAAAC4CAABk&#13;&#10;cnMvZTJvRG9jLnhtbFBLAQItABQABgAIAAAAIQC0fAJx4gAAAA0BAAAPAAAAAAAAAAAAAAAAAPYE&#13;&#10;AABkcnMvZG93bnJldi54bWxQSwUGAAAAAAQABADzAAAABQYAAAAA&#13;&#10;" fillcolor="#cfcdcd [2894]" stroked="f" strokeweight="1pt"/>
            </w:pict>
          </mc:Fallback>
        </mc:AlternateContent>
      </w:r>
      <w:r w:rsidR="00374A8C" w:rsidRPr="00FF0790">
        <w:rPr>
          <w:rFonts w:ascii="Avenir Next Condensed" w:hAnsi="Avenir Next Condensed"/>
          <w:b/>
          <w:noProof/>
          <w:color w:val="F67D04"/>
          <w:sz w:val="72"/>
          <w:lang w:eastAsia="fr-BE"/>
        </w:rPr>
        <w:drawing>
          <wp:anchor distT="0" distB="0" distL="114300" distR="114300" simplePos="0" relativeHeight="251688960" behindDoc="0" locked="0" layoutInCell="1" allowOverlap="1" wp14:anchorId="61BB12D3" wp14:editId="60CE099C">
            <wp:simplePos x="0" y="0"/>
            <wp:positionH relativeFrom="column">
              <wp:posOffset>7763974</wp:posOffset>
            </wp:positionH>
            <wp:positionV relativeFrom="paragraph">
              <wp:posOffset>-758171</wp:posOffset>
            </wp:positionV>
            <wp:extent cx="1589649" cy="576889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49" cy="57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842">
        <w:rPr>
          <w:rFonts w:ascii="Avenir Next Condensed" w:hAnsi="Avenir Next Condensed"/>
          <w:b/>
          <w:sz w:val="36"/>
        </w:rPr>
        <w:t>Trajet de Démarrage Diabète (TDD)</w:t>
      </w:r>
    </w:p>
    <w:p w14:paraId="1E1E5164" w14:textId="77777777" w:rsidR="007E4A40" w:rsidRPr="00FF0790" w:rsidRDefault="00BB299A" w:rsidP="00FF0790">
      <w:pPr>
        <w:keepNext/>
        <w:keepLines/>
        <w:spacing w:after="80" w:line="240" w:lineRule="auto"/>
        <w:jc w:val="center"/>
        <w:outlineLvl w:val="0"/>
        <w:rPr>
          <w:rFonts w:ascii="Avenir Next Condensed" w:eastAsia="Meiryo" w:hAnsi="Avenir Next Condensed" w:cs="Times New Roman"/>
          <w:i/>
          <w:szCs w:val="32"/>
        </w:rPr>
      </w:pPr>
      <w:r w:rsidRPr="00FF0790">
        <w:rPr>
          <w:rFonts w:ascii="Avenir Next Condensed" w:eastAsia="Meiryo" w:hAnsi="Avenir Next Condensed" w:cs="Times New Roman"/>
          <w:i/>
          <w:szCs w:val="32"/>
        </w:rPr>
        <w:t>Fiche</w:t>
      </w:r>
      <w:r w:rsidR="00CC6157" w:rsidRPr="00FF0790">
        <w:rPr>
          <w:rFonts w:ascii="Avenir Next Condensed" w:eastAsia="Meiryo" w:hAnsi="Avenir Next Condensed" w:cs="Times New Roman"/>
          <w:i/>
          <w:szCs w:val="32"/>
        </w:rPr>
        <w:t xml:space="preserve"> informative synthétique qui se veut compréhensible par tous. Pour un public plus averti et des cas particuliers, vous pouvez vous référer à la législation et/ou aux mutuelles</w:t>
      </w:r>
      <w:r w:rsidRPr="00FF0790">
        <w:rPr>
          <w:rFonts w:ascii="Avenir Next Condensed" w:eastAsia="Meiryo" w:hAnsi="Avenir Next Condensed" w:cs="Times New Roman"/>
          <w:i/>
          <w:szCs w:val="32"/>
        </w:rPr>
        <w:t>.</w:t>
      </w: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1568"/>
        <w:gridCol w:w="12461"/>
      </w:tblGrid>
      <w:tr w:rsidR="00652E21" w:rsidRPr="00F407FE" w14:paraId="40FA0323" w14:textId="77777777" w:rsidTr="00597747">
        <w:trPr>
          <w:trHeight w:val="1218"/>
        </w:trPr>
        <w:tc>
          <w:tcPr>
            <w:tcW w:w="1568" w:type="dxa"/>
            <w:vAlign w:val="center"/>
          </w:tcPr>
          <w:p w14:paraId="0C2530F7" w14:textId="77777777" w:rsidR="00652E21" w:rsidRPr="00BB299A" w:rsidRDefault="00652E21" w:rsidP="00BB299A">
            <w:pPr>
              <w:keepNext/>
              <w:keepLines/>
              <w:spacing w:after="80"/>
              <w:outlineLvl w:val="0"/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 xml:space="preserve">C’est quoi ? </w:t>
            </w:r>
          </w:p>
          <w:p w14:paraId="09D419B9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</w:p>
        </w:tc>
        <w:tc>
          <w:tcPr>
            <w:tcW w:w="12461" w:type="dxa"/>
            <w:vAlign w:val="center"/>
          </w:tcPr>
          <w:p w14:paraId="28EB8535" w14:textId="4A9AB09C" w:rsidR="00652E21" w:rsidRPr="00F407FE" w:rsidRDefault="00BF0842" w:rsidP="00FF0790">
            <w:pPr>
              <w:numPr>
                <w:ilvl w:val="0"/>
                <w:numId w:val="1"/>
              </w:numPr>
              <w:ind w:left="391" w:hanging="357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R</w:t>
            </w:r>
            <w:r w:rsidR="00652E21" w:rsidRPr="00F407FE">
              <w:rPr>
                <w:rFonts w:ascii="Avenir Next Condensed" w:hAnsi="Avenir Next Condensed"/>
                <w:sz w:val="24"/>
              </w:rPr>
              <w:t xml:space="preserve">emplace le </w:t>
            </w:r>
            <w:r>
              <w:rPr>
                <w:rFonts w:ascii="Avenir Next Condensed" w:hAnsi="Avenir Next Condensed"/>
                <w:sz w:val="24"/>
              </w:rPr>
              <w:t>pré-trajet diabète</w:t>
            </w:r>
          </w:p>
          <w:p w14:paraId="3AACD228" w14:textId="50C75916" w:rsidR="00652E21" w:rsidRDefault="00652E21" w:rsidP="00FF0790">
            <w:pPr>
              <w:numPr>
                <w:ilvl w:val="0"/>
                <w:numId w:val="1"/>
              </w:numPr>
              <w:ind w:left="391" w:hanging="357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 xml:space="preserve">C’est une première source d’information </w:t>
            </w:r>
            <w:r w:rsidR="00BF0842">
              <w:rPr>
                <w:rFonts w:ascii="Avenir Next Condensed" w:hAnsi="Avenir Next Condensed"/>
                <w:sz w:val="24"/>
              </w:rPr>
              <w:t xml:space="preserve"> et ce dès l’annonce d’un diabète de type 2 (DT2)</w:t>
            </w:r>
          </w:p>
          <w:p w14:paraId="6E62022A" w14:textId="14BDCC32" w:rsidR="00BF0842" w:rsidRPr="00BF0842" w:rsidRDefault="00BF0842" w:rsidP="00BF0842">
            <w:pPr>
              <w:ind w:left="391"/>
              <w:rPr>
                <w:rFonts w:ascii="Avenir Next Condensed" w:hAnsi="Avenir Next Condensed"/>
                <w:b/>
                <w:bCs/>
                <w:sz w:val="24"/>
              </w:rPr>
            </w:pPr>
            <w:r w:rsidRPr="00BF0842">
              <w:rPr>
                <w:rFonts w:ascii="Avenir Next Condensed" w:hAnsi="Avenir Next Condensed"/>
                <w:b/>
                <w:bCs/>
                <w:sz w:val="24"/>
              </w:rPr>
              <w:t>= PARCOURS DE SOINS DESTINÉ À LA PRISE EN CHARGE PRÉCOCE DU DT2</w:t>
            </w:r>
          </w:p>
        </w:tc>
      </w:tr>
      <w:tr w:rsidR="00652E21" w:rsidRPr="00F407FE" w14:paraId="1157D09F" w14:textId="77777777" w:rsidTr="00597747">
        <w:trPr>
          <w:trHeight w:val="837"/>
        </w:trPr>
        <w:tc>
          <w:tcPr>
            <w:tcW w:w="1568" w:type="dxa"/>
            <w:vAlign w:val="center"/>
          </w:tcPr>
          <w:p w14:paraId="5257358C" w14:textId="77777777" w:rsidR="00652E21" w:rsidRPr="00BB299A" w:rsidRDefault="00652E21" w:rsidP="00BB299A">
            <w:pPr>
              <w:keepNext/>
              <w:keepLines/>
              <w:outlineLvl w:val="0"/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Pour qui ?</w:t>
            </w:r>
          </w:p>
        </w:tc>
        <w:tc>
          <w:tcPr>
            <w:tcW w:w="12461" w:type="dxa"/>
            <w:vAlign w:val="center"/>
          </w:tcPr>
          <w:p w14:paraId="76AE21E9" w14:textId="7D51A525" w:rsidR="00652E21" w:rsidRPr="00F407FE" w:rsidRDefault="00BF0842" w:rsidP="00BB299A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Toute personne</w:t>
            </w:r>
            <w:r w:rsidR="00652E21" w:rsidRPr="00F407FE">
              <w:rPr>
                <w:rFonts w:ascii="Avenir Next Condensed" w:hAnsi="Avenir Next Condensed"/>
                <w:sz w:val="24"/>
              </w:rPr>
              <w:t xml:space="preserve"> diagnostiqué</w:t>
            </w:r>
            <w:r>
              <w:rPr>
                <w:rFonts w:ascii="Avenir Next Condensed" w:hAnsi="Avenir Next Condensed"/>
                <w:sz w:val="24"/>
              </w:rPr>
              <w:t>e</w:t>
            </w:r>
            <w:r w:rsidR="00652E21" w:rsidRPr="00F407FE">
              <w:rPr>
                <w:rFonts w:ascii="Avenir Next Condensed" w:hAnsi="Avenir Next Condensed"/>
                <w:sz w:val="24"/>
              </w:rPr>
              <w:t xml:space="preserve"> </w:t>
            </w:r>
            <w:r>
              <w:rPr>
                <w:rFonts w:ascii="Avenir Next Condensed" w:hAnsi="Avenir Next Condensed"/>
                <w:sz w:val="24"/>
              </w:rPr>
              <w:t>DT2 avec un DMG,</w:t>
            </w:r>
            <w:r w:rsidR="00652E21" w:rsidRPr="00F407FE">
              <w:rPr>
                <w:rFonts w:ascii="Avenir Next Condensed" w:hAnsi="Avenir Next Condensed"/>
                <w:sz w:val="24"/>
              </w:rPr>
              <w:t xml:space="preserve"> qui n’est ni en </w:t>
            </w:r>
            <w:r>
              <w:rPr>
                <w:rFonts w:ascii="Avenir Next Condensed" w:hAnsi="Avenir Next Condensed"/>
                <w:sz w:val="24"/>
              </w:rPr>
              <w:t>T</w:t>
            </w:r>
            <w:r w:rsidR="00652E21" w:rsidRPr="00F407FE">
              <w:rPr>
                <w:rFonts w:ascii="Avenir Next Condensed" w:hAnsi="Avenir Next Condensed"/>
                <w:sz w:val="24"/>
              </w:rPr>
              <w:t xml:space="preserve">rajet de </w:t>
            </w:r>
            <w:r>
              <w:rPr>
                <w:rFonts w:ascii="Avenir Next Condensed" w:hAnsi="Avenir Next Condensed"/>
                <w:sz w:val="24"/>
              </w:rPr>
              <w:t>S</w:t>
            </w:r>
            <w:r w:rsidR="00652E21" w:rsidRPr="00F407FE">
              <w:rPr>
                <w:rFonts w:ascii="Avenir Next Condensed" w:hAnsi="Avenir Next Condensed"/>
                <w:sz w:val="24"/>
              </w:rPr>
              <w:t>oin</w:t>
            </w:r>
            <w:r>
              <w:rPr>
                <w:rFonts w:ascii="Avenir Next Condensed" w:hAnsi="Avenir Next Condensed"/>
                <w:sz w:val="24"/>
              </w:rPr>
              <w:t>s</w:t>
            </w:r>
            <w:r w:rsidR="00652E21" w:rsidRPr="00F407FE">
              <w:rPr>
                <w:rFonts w:ascii="Avenir Next Condensed" w:hAnsi="Avenir Next Condensed"/>
                <w:sz w:val="24"/>
              </w:rPr>
              <w:t>, ni en convention</w:t>
            </w:r>
          </w:p>
        </w:tc>
      </w:tr>
      <w:tr w:rsidR="00652E21" w:rsidRPr="00F407FE" w14:paraId="0DBE95E0" w14:textId="77777777" w:rsidTr="00597747">
        <w:trPr>
          <w:trHeight w:val="693"/>
        </w:trPr>
        <w:tc>
          <w:tcPr>
            <w:tcW w:w="1568" w:type="dxa"/>
            <w:vAlign w:val="center"/>
          </w:tcPr>
          <w:p w14:paraId="70EB29AB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Par qui ?</w:t>
            </w:r>
          </w:p>
        </w:tc>
        <w:tc>
          <w:tcPr>
            <w:tcW w:w="12461" w:type="dxa"/>
            <w:vAlign w:val="center"/>
          </w:tcPr>
          <w:p w14:paraId="7246155F" w14:textId="71F3AA33" w:rsidR="00652E21" w:rsidRDefault="00BF0842" w:rsidP="00BB299A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Le</w:t>
            </w:r>
            <w:r w:rsidR="00652E21" w:rsidRPr="00F407FE">
              <w:rPr>
                <w:rFonts w:ascii="Avenir Next Condensed" w:hAnsi="Avenir Next Condensed"/>
                <w:sz w:val="24"/>
              </w:rPr>
              <w:t xml:space="preserve"> médecin </w:t>
            </w:r>
            <w:r>
              <w:rPr>
                <w:rFonts w:ascii="Avenir Next Condensed" w:hAnsi="Avenir Next Condensed"/>
                <w:sz w:val="24"/>
              </w:rPr>
              <w:t>généraliste enclenche le TDD et l’indique dans le DMG</w:t>
            </w:r>
          </w:p>
          <w:p w14:paraId="08AA7106" w14:textId="29703D6D" w:rsidR="00BF0842" w:rsidRPr="00F407FE" w:rsidRDefault="00BF0842" w:rsidP="00BB299A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Rédige les prescriptions</w:t>
            </w:r>
          </w:p>
        </w:tc>
      </w:tr>
      <w:tr w:rsidR="00652E21" w:rsidRPr="00F407FE" w14:paraId="66CB8F76" w14:textId="77777777" w:rsidTr="00597747">
        <w:trPr>
          <w:trHeight w:val="703"/>
        </w:trPr>
        <w:tc>
          <w:tcPr>
            <w:tcW w:w="1568" w:type="dxa"/>
            <w:vAlign w:val="center"/>
          </w:tcPr>
          <w:p w14:paraId="638869AC" w14:textId="77777777" w:rsidR="00652E21" w:rsidRPr="00BB299A" w:rsidRDefault="00652E21" w:rsidP="00BB299A">
            <w:pPr>
              <w:keepNext/>
              <w:keepLines/>
              <w:spacing w:after="80"/>
              <w:outlineLvl w:val="0"/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Comment ?</w:t>
            </w:r>
          </w:p>
        </w:tc>
        <w:tc>
          <w:tcPr>
            <w:tcW w:w="12461" w:type="dxa"/>
            <w:vAlign w:val="center"/>
          </w:tcPr>
          <w:p w14:paraId="034AC747" w14:textId="21FB26F7" w:rsidR="00652E21" w:rsidRPr="00F407FE" w:rsidRDefault="00652E21" w:rsidP="00BB299A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 w:rsidRPr="00F407FE">
              <w:rPr>
                <w:rFonts w:ascii="Avenir Next Condensed" w:hAnsi="Avenir Next Condensed"/>
                <w:sz w:val="24"/>
              </w:rPr>
              <w:t xml:space="preserve">Il atteste </w:t>
            </w:r>
            <w:r w:rsidR="00BF0842">
              <w:rPr>
                <w:rFonts w:ascii="Avenir Next Condensed" w:hAnsi="Avenir Next Condensed"/>
                <w:sz w:val="24"/>
              </w:rPr>
              <w:t>le</w:t>
            </w:r>
            <w:r w:rsidRPr="00F407FE">
              <w:rPr>
                <w:rFonts w:ascii="Avenir Next Condensed" w:hAnsi="Avenir Next Condensed"/>
                <w:sz w:val="24"/>
              </w:rPr>
              <w:t xml:space="preserve"> code particulier </w:t>
            </w:r>
            <w:r w:rsidR="00BF0842" w:rsidRPr="00BF0842">
              <w:rPr>
                <w:rFonts w:ascii="Avenir Next Condensed" w:hAnsi="Avenir Next Condensed"/>
                <w:b/>
                <w:bCs/>
                <w:sz w:val="24"/>
              </w:rPr>
              <w:t xml:space="preserve">400374 </w:t>
            </w:r>
            <w:r w:rsidR="00BF0842" w:rsidRPr="00BF0842">
              <w:rPr>
                <w:rFonts w:ascii="Avenir Next Condensed" w:hAnsi="Avenir Next Condensed"/>
                <w:bCs/>
                <w:sz w:val="24"/>
              </w:rPr>
              <w:t>et dans les maisons médicales au forfait</w:t>
            </w:r>
            <w:r w:rsidR="00BF0842">
              <w:rPr>
                <w:rFonts w:ascii="Avenir Next Condensed" w:hAnsi="Avenir Next Condensed"/>
                <w:b/>
                <w:sz w:val="24"/>
              </w:rPr>
              <w:t xml:space="preserve"> 400396</w:t>
            </w:r>
          </w:p>
        </w:tc>
      </w:tr>
      <w:tr w:rsidR="00652E21" w:rsidRPr="00F407FE" w14:paraId="1CBB5ED9" w14:textId="77777777" w:rsidTr="00597747">
        <w:trPr>
          <w:trHeight w:val="1139"/>
        </w:trPr>
        <w:tc>
          <w:tcPr>
            <w:tcW w:w="1568" w:type="dxa"/>
            <w:vAlign w:val="center"/>
          </w:tcPr>
          <w:p w14:paraId="2A4B8334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Avantages ?</w:t>
            </w:r>
          </w:p>
        </w:tc>
        <w:tc>
          <w:tcPr>
            <w:tcW w:w="12461" w:type="dxa"/>
            <w:vAlign w:val="center"/>
          </w:tcPr>
          <w:p w14:paraId="48410E44" w14:textId="493D3F57" w:rsidR="00BF0842" w:rsidRDefault="00BF0842" w:rsidP="00FF0790">
            <w:pPr>
              <w:numPr>
                <w:ilvl w:val="0"/>
                <w:numId w:val="2"/>
              </w:numPr>
              <w:spacing w:line="259" w:lineRule="auto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Pas de contrat, renouvellement annuel</w:t>
            </w:r>
          </w:p>
          <w:p w14:paraId="2DF52A7F" w14:textId="580EBBA2" w:rsidR="00652E21" w:rsidRPr="00F407FE" w:rsidRDefault="00BF0842" w:rsidP="00FF0790">
            <w:pPr>
              <w:numPr>
                <w:ilvl w:val="0"/>
                <w:numId w:val="2"/>
              </w:numPr>
              <w:spacing w:line="259" w:lineRule="auto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P</w:t>
            </w:r>
            <w:r w:rsidR="00652E21" w:rsidRPr="00F407FE">
              <w:rPr>
                <w:rFonts w:ascii="Avenir Next Condensed" w:hAnsi="Avenir Next Condensed"/>
                <w:sz w:val="24"/>
              </w:rPr>
              <w:t xml:space="preserve">rise en charge globale </w:t>
            </w:r>
          </w:p>
          <w:p w14:paraId="316C245A" w14:textId="630C85DD" w:rsidR="00652E21" w:rsidRPr="00F407FE" w:rsidRDefault="00BF0842" w:rsidP="00FF0790">
            <w:pPr>
              <w:numPr>
                <w:ilvl w:val="0"/>
                <w:numId w:val="2"/>
              </w:numPr>
              <w:spacing w:line="259" w:lineRule="auto"/>
              <w:ind w:left="357" w:hanging="357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R</w:t>
            </w:r>
            <w:r w:rsidR="00652E21" w:rsidRPr="00F407FE">
              <w:rPr>
                <w:rFonts w:ascii="Avenir Next Condensed" w:hAnsi="Avenir Next Condensed"/>
                <w:sz w:val="24"/>
              </w:rPr>
              <w:t>emboursements</w:t>
            </w:r>
            <w:r w:rsidR="007D0138">
              <w:rPr>
                <w:rFonts w:ascii="Avenir Next Condensed" w:hAnsi="Avenir Next Condensed"/>
                <w:sz w:val="24"/>
              </w:rPr>
              <w:t xml:space="preserve"> </w:t>
            </w:r>
            <w:r>
              <w:rPr>
                <w:rFonts w:ascii="Avenir Next Condensed" w:hAnsi="Avenir Next Condensed"/>
                <w:sz w:val="24"/>
              </w:rPr>
              <w:t>des séances de diététique et de podologie (suppression du T</w:t>
            </w:r>
            <w:r w:rsidR="00597747">
              <w:rPr>
                <w:rFonts w:ascii="Avenir Next Condensed" w:hAnsi="Avenir Next Condensed"/>
                <w:sz w:val="24"/>
              </w:rPr>
              <w:t>M</w:t>
            </w:r>
            <w:r>
              <w:rPr>
                <w:rFonts w:ascii="Avenir Next Condensed" w:hAnsi="Avenir Next Condensed"/>
                <w:sz w:val="24"/>
              </w:rPr>
              <w:t xml:space="preserve">) </w:t>
            </w:r>
          </w:p>
        </w:tc>
      </w:tr>
      <w:tr w:rsidR="00652E21" w:rsidRPr="00F407FE" w14:paraId="60D029FB" w14:textId="77777777" w:rsidTr="00597747">
        <w:trPr>
          <w:trHeight w:val="1099"/>
        </w:trPr>
        <w:tc>
          <w:tcPr>
            <w:tcW w:w="1568" w:type="dxa"/>
            <w:vAlign w:val="center"/>
          </w:tcPr>
          <w:p w14:paraId="5B326F9D" w14:textId="77777777" w:rsidR="00652E21" w:rsidRPr="00BB299A" w:rsidRDefault="00652E21" w:rsidP="00BB299A">
            <w:pPr>
              <w:rPr>
                <w:rFonts w:ascii="Avenir Next Condensed" w:hAnsi="Avenir Next Condensed"/>
                <w:b/>
                <w:color w:val="4472C4" w:themeColor="accent5"/>
                <w:sz w:val="28"/>
              </w:rPr>
            </w:pPr>
            <w:r w:rsidRPr="00BB299A">
              <w:rPr>
                <w:rFonts w:ascii="Avenir Next Condensed" w:eastAsia="Meiryo" w:hAnsi="Avenir Next Condensed" w:cs="Times New Roman"/>
                <w:b/>
                <w:color w:val="4472C4" w:themeColor="accent5"/>
                <w:sz w:val="28"/>
                <w:szCs w:val="32"/>
              </w:rPr>
              <w:t>Suivi ?</w:t>
            </w:r>
          </w:p>
        </w:tc>
        <w:tc>
          <w:tcPr>
            <w:tcW w:w="12461" w:type="dxa"/>
            <w:vAlign w:val="center"/>
          </w:tcPr>
          <w:p w14:paraId="6D51B4CE" w14:textId="77777777" w:rsidR="00652E21" w:rsidRDefault="00BF0842" w:rsidP="00BF0842">
            <w:pPr>
              <w:spacing w:line="259" w:lineRule="auto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Par année civile :</w:t>
            </w:r>
          </w:p>
          <w:p w14:paraId="04166FAD" w14:textId="5EAD72E3" w:rsidR="00BF0842" w:rsidRDefault="00BF0842" w:rsidP="00BF0842">
            <w:pPr>
              <w:pStyle w:val="Paragraphedeliste"/>
              <w:numPr>
                <w:ilvl w:val="0"/>
                <w:numId w:val="8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4 prestations dont une donnée pas un éducateur diplômé en diabétologie (794253 ou en</w:t>
            </w:r>
            <w:r w:rsidR="00597747">
              <w:rPr>
                <w:rFonts w:ascii="Avenir Next Condensed" w:hAnsi="Avenir Next Condensed"/>
                <w:sz w:val="24"/>
              </w:rPr>
              <w:t xml:space="preserve"> gr</w:t>
            </w:r>
            <w:r>
              <w:rPr>
                <w:rFonts w:ascii="Avenir Next Condensed" w:hAnsi="Avenir Next Condensed"/>
                <w:sz w:val="24"/>
              </w:rPr>
              <w:t>794334), les 3 autres sont à déterminer selon les besoins :</w:t>
            </w:r>
          </w:p>
          <w:p w14:paraId="6684AF4B" w14:textId="77777777" w:rsidR="00BF0842" w:rsidRDefault="00BF0842" w:rsidP="00BF0842">
            <w:pPr>
              <w:pStyle w:val="Paragraphedeliste"/>
              <w:numPr>
                <w:ilvl w:val="1"/>
                <w:numId w:val="8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Pharmacien (observance thérapeutique</w:t>
            </w:r>
            <w:r w:rsidR="00597747">
              <w:rPr>
                <w:rFonts w:ascii="Avenir Next Condensed" w:hAnsi="Avenir Next Condensed"/>
                <w:sz w:val="24"/>
              </w:rPr>
              <w:t>) (794290, en gr794371)</w:t>
            </w:r>
          </w:p>
          <w:p w14:paraId="24E8102F" w14:textId="77777777" w:rsidR="00597747" w:rsidRDefault="00597747" w:rsidP="00BF0842">
            <w:pPr>
              <w:pStyle w:val="Paragraphedeliste"/>
              <w:numPr>
                <w:ilvl w:val="1"/>
                <w:numId w:val="8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Kinésithérapeute (initier à l’activité physique) (794393 en gr)</w:t>
            </w:r>
          </w:p>
          <w:p w14:paraId="5A060616" w14:textId="77777777" w:rsidR="00597747" w:rsidRDefault="00597747" w:rsidP="00BF0842">
            <w:pPr>
              <w:pStyle w:val="Paragraphedeliste"/>
              <w:numPr>
                <w:ilvl w:val="1"/>
                <w:numId w:val="8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Infirmière à domicile (visite de suivi, d’observation et de soutien à domicile pour l’autogestion). Obligation d’une formation continue de 2h/an (794312 séance individuelle)</w:t>
            </w:r>
          </w:p>
          <w:p w14:paraId="0F153A36" w14:textId="77777777" w:rsidR="00597747" w:rsidRDefault="00597747" w:rsidP="00BF0842">
            <w:pPr>
              <w:pStyle w:val="Paragraphedeliste"/>
              <w:numPr>
                <w:ilvl w:val="1"/>
                <w:numId w:val="8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Diététicienne (794275 ou en gr 794356)</w:t>
            </w:r>
          </w:p>
          <w:p w14:paraId="00AD4CFD" w14:textId="77777777" w:rsidR="00597747" w:rsidRDefault="00597747" w:rsidP="00597747">
            <w:pPr>
              <w:ind w:left="708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Les séances se donnent individuellement pendant 30’ ou en groupe de maximum 10 personnes pendant 120’.</w:t>
            </w:r>
          </w:p>
          <w:p w14:paraId="17A006A6" w14:textId="3B113526" w:rsidR="00597747" w:rsidRDefault="00597747" w:rsidP="00597747">
            <w:pPr>
              <w:ind w:left="708"/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 xml:space="preserve">Et ce ni dans un centre de soins de jour, ni dans un centre pour personnes </w:t>
            </w:r>
            <w:proofErr w:type="spellStart"/>
            <w:r>
              <w:rPr>
                <w:rFonts w:ascii="Avenir Next Condensed" w:hAnsi="Avenir Next Condensed"/>
                <w:sz w:val="24"/>
              </w:rPr>
              <w:t>agées</w:t>
            </w:r>
            <w:proofErr w:type="spellEnd"/>
            <w:r>
              <w:rPr>
                <w:rFonts w:ascii="Avenir Next Condensed" w:hAnsi="Avenir Next Condensed"/>
                <w:sz w:val="24"/>
              </w:rPr>
              <w:t>, ni dans une salle de fitness.</w:t>
            </w:r>
          </w:p>
          <w:p w14:paraId="52F392EC" w14:textId="57C40273" w:rsidR="00597747" w:rsidRDefault="00597747" w:rsidP="00597747">
            <w:pPr>
              <w:pStyle w:val="Paragraphedeliste"/>
              <w:numPr>
                <w:ilvl w:val="0"/>
                <w:numId w:val="9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lastRenderedPageBreak/>
              <w:t>Des prestations de diététique 2 x 30’/an (771816)</w:t>
            </w:r>
          </w:p>
          <w:p w14:paraId="2BB18C93" w14:textId="77777777" w:rsidR="00597747" w:rsidRDefault="00597747" w:rsidP="00597747">
            <w:pPr>
              <w:pStyle w:val="Paragraphedeliste"/>
              <w:numPr>
                <w:ilvl w:val="0"/>
                <w:numId w:val="9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Des prestations de podologie 2 x 45’/an (selon le groupe à risque 1, 2a, 2b, 3) (771154)</w:t>
            </w:r>
          </w:p>
          <w:p w14:paraId="11893320" w14:textId="4D9CC7EB" w:rsidR="00597747" w:rsidRPr="00597747" w:rsidRDefault="00597747" w:rsidP="00597747">
            <w:pPr>
              <w:ind w:left="360"/>
              <w:rPr>
                <w:rFonts w:ascii="Avenir Next Condensed" w:hAnsi="Avenir Next Condensed"/>
                <w:sz w:val="24"/>
              </w:rPr>
            </w:pPr>
            <w:r w:rsidRPr="00597747">
              <w:rPr>
                <w:rFonts w:ascii="Avenir Next Condensed" w:hAnsi="Avenir Next Condensed"/>
                <w:b/>
                <w:bCs/>
                <w:sz w:val="24"/>
              </w:rPr>
              <w:t>Le TM disparait pour les séances de diététique et de podologie</w:t>
            </w:r>
          </w:p>
          <w:p w14:paraId="6B1F7D48" w14:textId="6DC1EAD7" w:rsidR="00597747" w:rsidRDefault="00597747" w:rsidP="00597747">
            <w:pPr>
              <w:pStyle w:val="Paragraphedeliste"/>
              <w:numPr>
                <w:ilvl w:val="0"/>
                <w:numId w:val="9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Des soins chez le dentiste 1x/an pour les personnes de 18 à 80 ans. Le TM est annulé pour les prestations (301593-301604)</w:t>
            </w:r>
          </w:p>
          <w:p w14:paraId="1D06E3F7" w14:textId="67075ED5" w:rsidR="00597747" w:rsidRPr="00597747" w:rsidRDefault="00597747" w:rsidP="00597747">
            <w:pPr>
              <w:pStyle w:val="Paragraphedeliste"/>
              <w:numPr>
                <w:ilvl w:val="0"/>
                <w:numId w:val="9"/>
              </w:numPr>
              <w:rPr>
                <w:rFonts w:ascii="Avenir Next Condensed" w:hAnsi="Avenir Next Condensed"/>
                <w:sz w:val="24"/>
              </w:rPr>
            </w:pPr>
            <w:r>
              <w:rPr>
                <w:rFonts w:ascii="Avenir Next Condensed" w:hAnsi="Avenir Next Condensed"/>
                <w:sz w:val="24"/>
              </w:rPr>
              <w:t>La prescription des médicaments nécessaires dans le cadre du T</w:t>
            </w:r>
            <w:r w:rsidR="00283B59">
              <w:rPr>
                <w:rFonts w:ascii="Avenir Next Condensed" w:hAnsi="Avenir Next Condensed"/>
                <w:sz w:val="24"/>
              </w:rPr>
              <w:t>D</w:t>
            </w:r>
            <w:r>
              <w:rPr>
                <w:rFonts w:ascii="Avenir Next Condensed" w:hAnsi="Avenir Next Condensed"/>
                <w:sz w:val="24"/>
              </w:rPr>
              <w:t>D sont les mêmes que dans le TDS</w:t>
            </w:r>
          </w:p>
          <w:p w14:paraId="097B78A6" w14:textId="7657EF57" w:rsidR="00597747" w:rsidRPr="00597747" w:rsidRDefault="00597747" w:rsidP="00597747">
            <w:pPr>
              <w:rPr>
                <w:rFonts w:ascii="Avenir Next Condensed" w:hAnsi="Avenir Next Condensed"/>
                <w:b/>
                <w:bCs/>
                <w:sz w:val="24"/>
              </w:rPr>
            </w:pPr>
          </w:p>
        </w:tc>
      </w:tr>
    </w:tbl>
    <w:p w14:paraId="70DC5946" w14:textId="77777777" w:rsidR="00B34D36" w:rsidRPr="00B34D36" w:rsidRDefault="00CC6157" w:rsidP="004237C1">
      <w:pPr>
        <w:spacing w:before="120" w:after="0"/>
        <w:rPr>
          <w:rFonts w:ascii="Avenir Next Condensed" w:hAnsi="Avenir Next Condensed"/>
        </w:rPr>
      </w:pPr>
      <w:r w:rsidRPr="007E4A40">
        <w:rPr>
          <w:rFonts w:ascii="Avenir Next Condensed" w:hAnsi="Avenir Next Condensed"/>
          <w:b/>
        </w:rPr>
        <w:lastRenderedPageBreak/>
        <w:t xml:space="preserve">Pour plus d’informations : </w:t>
      </w:r>
      <w:r w:rsidR="00BB299A" w:rsidRPr="007E4A40">
        <w:t xml:space="preserve"> </w:t>
      </w:r>
      <w:hyperlink r:id="rId8" w:anchor=".Wv6PoqkuCTc" w:history="1">
        <w:r w:rsidR="00BB299A" w:rsidRPr="007E4A40">
          <w:rPr>
            <w:rStyle w:val="Lienhypertexte"/>
            <w:rFonts w:ascii="Avenir Next Condensed" w:hAnsi="Avenir Next Condensed"/>
          </w:rPr>
          <w:t>http://www.inami.fgov.be/fr/themes/qualite-soins/Pages/diabete-type-2-modele-generique-soins.aspx#.Wv6PoqkuCTc</w:t>
        </w:r>
      </w:hyperlink>
      <w:r w:rsidR="00BB299A" w:rsidRPr="007E4A40">
        <w:rPr>
          <w:rFonts w:ascii="Avenir Next Condensed" w:hAnsi="Avenir Next Condensed"/>
        </w:rPr>
        <w:t xml:space="preserve"> </w:t>
      </w:r>
    </w:p>
    <w:p w14:paraId="5059D75A" w14:textId="77777777" w:rsidR="00526C06" w:rsidRDefault="00526C06" w:rsidP="00CC6157">
      <w:pPr>
        <w:rPr>
          <w:rFonts w:ascii="Avenir Next Condensed" w:hAnsi="Avenir Next Condensed"/>
        </w:rPr>
      </w:pPr>
    </w:p>
    <w:p w14:paraId="21A77A87" w14:textId="77777777" w:rsidR="00B34D36" w:rsidRDefault="00B34D36" w:rsidP="00E62F9B">
      <w:pPr>
        <w:jc w:val="center"/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691008" behindDoc="0" locked="0" layoutInCell="1" allowOverlap="1" wp14:anchorId="256C6F70" wp14:editId="4BFBEC76">
            <wp:simplePos x="0" y="0"/>
            <wp:positionH relativeFrom="column">
              <wp:posOffset>41910</wp:posOffset>
            </wp:positionH>
            <wp:positionV relativeFrom="paragraph">
              <wp:posOffset>-14482</wp:posOffset>
            </wp:positionV>
            <wp:extent cx="3427095" cy="676275"/>
            <wp:effectExtent l="0" t="0" r="1905" b="9525"/>
            <wp:wrapSquare wrapText="bothSides"/>
            <wp:docPr id="1" name="Image 1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1456EC" w14:textId="44CF1906" w:rsidR="00BB299A" w:rsidRPr="00E62F9B" w:rsidRDefault="00BB299A" w:rsidP="00E62F9B">
      <w:pPr>
        <w:jc w:val="center"/>
        <w:rPr>
          <w:rFonts w:ascii="Avenir Next Condensed" w:hAnsi="Avenir Next Condensed"/>
        </w:rPr>
      </w:pPr>
      <w:r w:rsidRPr="00F52778">
        <w:rPr>
          <w:rFonts w:ascii="Avenir Next Condensed" w:hAnsi="Avenir Next Condensed"/>
          <w:sz w:val="20"/>
          <w:szCs w:val="16"/>
        </w:rPr>
        <w:t xml:space="preserve">Brochure éducative réalisée par les membres de la CoP Diabéto dans le cadre du </w:t>
      </w:r>
      <w:r w:rsidRPr="00F52778">
        <w:rPr>
          <w:rFonts w:ascii="Avenir Next Condensed" w:hAnsi="Avenir Next Condensed"/>
          <w:b/>
          <w:sz w:val="20"/>
          <w:szCs w:val="16"/>
        </w:rPr>
        <w:t>projet Health Cop</w:t>
      </w:r>
      <w:r w:rsidRPr="00F52778">
        <w:rPr>
          <w:rFonts w:ascii="Avenir Next Condensed" w:hAnsi="Avenir Next Condensed"/>
          <w:sz w:val="20"/>
          <w:szCs w:val="16"/>
        </w:rPr>
        <w:t xml:space="preserve"> </w:t>
      </w:r>
      <w:r w:rsidR="00B34D36">
        <w:rPr>
          <w:rFonts w:ascii="Avenir Next Condensed" w:hAnsi="Avenir Next Condensed"/>
          <w:sz w:val="20"/>
          <w:szCs w:val="16"/>
        </w:rPr>
        <w:t xml:space="preserve">en </w:t>
      </w:r>
      <w:r w:rsidR="00597747">
        <w:rPr>
          <w:rFonts w:ascii="Avenir Next Condensed" w:hAnsi="Avenir Next Condensed"/>
          <w:b/>
          <w:sz w:val="20"/>
          <w:szCs w:val="16"/>
        </w:rPr>
        <w:t>2024</w:t>
      </w:r>
      <w:r w:rsidR="00DD5B36">
        <w:rPr>
          <w:rFonts w:ascii="Avenir Next Condensed" w:hAnsi="Avenir Next Condensed"/>
          <w:b/>
          <w:sz w:val="20"/>
          <w:szCs w:val="16"/>
        </w:rPr>
        <w:t xml:space="preserve"> </w:t>
      </w:r>
    </w:p>
    <w:sectPr w:rsidR="00BB299A" w:rsidRPr="00E62F9B" w:rsidSect="00DD7425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11EED" w14:textId="77777777" w:rsidR="002E71D1" w:rsidRDefault="002E71D1">
      <w:pPr>
        <w:spacing w:after="0" w:line="240" w:lineRule="auto"/>
      </w:pPr>
      <w:r>
        <w:separator/>
      </w:r>
    </w:p>
  </w:endnote>
  <w:endnote w:type="continuationSeparator" w:id="0">
    <w:p w14:paraId="24D9B31D" w14:textId="77777777" w:rsidR="002E71D1" w:rsidRDefault="002E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758908"/>
      <w:docPartObj>
        <w:docPartGallery w:val="Page Numbers (Bottom of Page)"/>
        <w:docPartUnique/>
      </w:docPartObj>
    </w:sdtPr>
    <w:sdtContent>
      <w:p w14:paraId="6E87B680" w14:textId="77777777" w:rsidR="00382481" w:rsidRDefault="00484C2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D2C" w:rsidRPr="00D57D2C">
          <w:rPr>
            <w:noProof/>
            <w:lang w:val="fr-FR"/>
          </w:rPr>
          <w:t>1</w:t>
        </w:r>
        <w:r>
          <w:fldChar w:fldCharType="end"/>
        </w:r>
      </w:p>
    </w:sdtContent>
  </w:sdt>
  <w:p w14:paraId="677140B7" w14:textId="77777777" w:rsidR="00382481" w:rsidRDefault="003824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25CE" w14:textId="77777777" w:rsidR="002E71D1" w:rsidRDefault="002E71D1">
      <w:pPr>
        <w:spacing w:after="0" w:line="240" w:lineRule="auto"/>
      </w:pPr>
      <w:r>
        <w:separator/>
      </w:r>
    </w:p>
  </w:footnote>
  <w:footnote w:type="continuationSeparator" w:id="0">
    <w:p w14:paraId="143ADC8A" w14:textId="77777777" w:rsidR="002E71D1" w:rsidRDefault="002E7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7EBC"/>
    <w:multiLevelType w:val="hybridMultilevel"/>
    <w:tmpl w:val="F4FACD70"/>
    <w:lvl w:ilvl="0" w:tplc="6DC0F044">
      <w:start w:val="30"/>
      <w:numFmt w:val="bullet"/>
      <w:lvlText w:val="-"/>
      <w:lvlJc w:val="left"/>
      <w:pPr>
        <w:ind w:left="1776" w:hanging="360"/>
      </w:pPr>
      <w:rPr>
        <w:rFonts w:ascii="Avenir Next Condensed" w:eastAsiaTheme="minorHAnsi" w:hAnsi="Avenir Next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0663EF"/>
    <w:multiLevelType w:val="hybridMultilevel"/>
    <w:tmpl w:val="283879BA"/>
    <w:lvl w:ilvl="0" w:tplc="080C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D997E0B"/>
    <w:multiLevelType w:val="hybridMultilevel"/>
    <w:tmpl w:val="6FBC157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74F41"/>
    <w:multiLevelType w:val="hybridMultilevel"/>
    <w:tmpl w:val="D4208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6906E88"/>
    <w:multiLevelType w:val="multilevel"/>
    <w:tmpl w:val="283879BA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86A0853"/>
    <w:multiLevelType w:val="hybridMultilevel"/>
    <w:tmpl w:val="1C5C34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F33E61"/>
    <w:multiLevelType w:val="hybridMultilevel"/>
    <w:tmpl w:val="6A98B52A"/>
    <w:lvl w:ilvl="0" w:tplc="B5BC5B78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12A11"/>
    <w:multiLevelType w:val="hybridMultilevel"/>
    <w:tmpl w:val="3558E07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B0151B"/>
    <w:multiLevelType w:val="hybridMultilevel"/>
    <w:tmpl w:val="ACA013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DA603F"/>
    <w:multiLevelType w:val="hybridMultilevel"/>
    <w:tmpl w:val="2A28B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2A2FC">
      <w:start w:val="1"/>
      <w:numFmt w:val="bullet"/>
      <w:lvlText w:val="v"/>
      <w:lvlJc w:val="left"/>
      <w:pPr>
        <w:ind w:left="1440" w:hanging="360"/>
      </w:pPr>
      <w:rPr>
        <w:rFonts w:ascii="David" w:hAnsi="David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29024">
    <w:abstractNumId w:val="1"/>
  </w:num>
  <w:num w:numId="2" w16cid:durableId="283007102">
    <w:abstractNumId w:val="2"/>
  </w:num>
  <w:num w:numId="3" w16cid:durableId="1963686015">
    <w:abstractNumId w:val="4"/>
  </w:num>
  <w:num w:numId="4" w16cid:durableId="1353413956">
    <w:abstractNumId w:val="5"/>
  </w:num>
  <w:num w:numId="5" w16cid:durableId="1919754044">
    <w:abstractNumId w:val="8"/>
  </w:num>
  <w:num w:numId="6" w16cid:durableId="643051315">
    <w:abstractNumId w:val="6"/>
  </w:num>
  <w:num w:numId="7" w16cid:durableId="1638222892">
    <w:abstractNumId w:val="0"/>
  </w:num>
  <w:num w:numId="8" w16cid:durableId="1920478924">
    <w:abstractNumId w:val="9"/>
  </w:num>
  <w:num w:numId="9" w16cid:durableId="1655641313">
    <w:abstractNumId w:val="3"/>
  </w:num>
  <w:num w:numId="10" w16cid:durableId="324482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57"/>
    <w:rsid w:val="000130D0"/>
    <w:rsid w:val="0006148D"/>
    <w:rsid w:val="00115D75"/>
    <w:rsid w:val="00137081"/>
    <w:rsid w:val="00273C98"/>
    <w:rsid w:val="00283B59"/>
    <w:rsid w:val="002E71D1"/>
    <w:rsid w:val="00374A8C"/>
    <w:rsid w:val="00382481"/>
    <w:rsid w:val="004237C1"/>
    <w:rsid w:val="00484C26"/>
    <w:rsid w:val="004D7204"/>
    <w:rsid w:val="00526C06"/>
    <w:rsid w:val="00536340"/>
    <w:rsid w:val="00597747"/>
    <w:rsid w:val="00652E21"/>
    <w:rsid w:val="006F5F1A"/>
    <w:rsid w:val="00705BEC"/>
    <w:rsid w:val="00706ACF"/>
    <w:rsid w:val="007A60AB"/>
    <w:rsid w:val="007D0138"/>
    <w:rsid w:val="007E4A40"/>
    <w:rsid w:val="00813C1B"/>
    <w:rsid w:val="00823FA7"/>
    <w:rsid w:val="00921CDF"/>
    <w:rsid w:val="00976945"/>
    <w:rsid w:val="00997F5B"/>
    <w:rsid w:val="00B34D36"/>
    <w:rsid w:val="00B5507C"/>
    <w:rsid w:val="00BB299A"/>
    <w:rsid w:val="00BB4CBF"/>
    <w:rsid w:val="00BF0842"/>
    <w:rsid w:val="00C0587A"/>
    <w:rsid w:val="00CC6157"/>
    <w:rsid w:val="00CF3F93"/>
    <w:rsid w:val="00D3381E"/>
    <w:rsid w:val="00D57D2C"/>
    <w:rsid w:val="00DA0824"/>
    <w:rsid w:val="00DD5B36"/>
    <w:rsid w:val="00DD7425"/>
    <w:rsid w:val="00E202A9"/>
    <w:rsid w:val="00E356CD"/>
    <w:rsid w:val="00E62F9B"/>
    <w:rsid w:val="00EC5C41"/>
    <w:rsid w:val="00F407FE"/>
    <w:rsid w:val="00FB7547"/>
    <w:rsid w:val="00FF0790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7FCE"/>
  <w15:chartTrackingRefBased/>
  <w15:docId w15:val="{414A7D98-D653-4EEC-8AF7-6B18027F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C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157"/>
  </w:style>
  <w:style w:type="table" w:styleId="Grilledutableau">
    <w:name w:val="Table Grid"/>
    <w:basedOn w:val="TableauNormal"/>
    <w:uiPriority w:val="39"/>
    <w:rsid w:val="00CC6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B299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299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652E2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62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mi.fgov.be/fr/themes/qualite-soins/Pages/diabete-type-2-modele-generique-soin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noben</dc:creator>
  <cp:keywords/>
  <dc:description/>
  <cp:lastModifiedBy>Natasha Noben</cp:lastModifiedBy>
  <cp:revision>4</cp:revision>
  <cp:lastPrinted>2020-09-03T11:00:00Z</cp:lastPrinted>
  <dcterms:created xsi:type="dcterms:W3CDTF">2024-12-13T12:17:00Z</dcterms:created>
  <dcterms:modified xsi:type="dcterms:W3CDTF">2024-12-19T09:07:00Z</dcterms:modified>
</cp:coreProperties>
</file>